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135" w:rsidRDefault="005B05EE" w:rsidP="00DD14DC">
      <w:pPr>
        <w:spacing w:after="0" w:line="240" w:lineRule="auto"/>
        <w:rPr>
          <w:rFonts w:cstheme="minorHAnsi"/>
        </w:rPr>
      </w:pPr>
      <w:r>
        <w:rPr>
          <w:rFonts w:cstheme="minorHAnsi"/>
        </w:rPr>
        <w:t xml:space="preserve">This resource has been created </w:t>
      </w:r>
      <w:r w:rsidR="001C7782">
        <w:rPr>
          <w:rFonts w:cstheme="minorHAnsi"/>
        </w:rPr>
        <w:t>in collaboration with</w:t>
      </w:r>
      <w:r w:rsidR="000B3D03">
        <w:rPr>
          <w:rFonts w:cstheme="minorHAnsi"/>
        </w:rPr>
        <w:t xml:space="preserve"> the Eastern RAS Coordinator </w:t>
      </w:r>
      <w:r>
        <w:rPr>
          <w:rFonts w:cstheme="minorHAnsi"/>
        </w:rPr>
        <w:t xml:space="preserve">to support our </w:t>
      </w:r>
      <w:r w:rsidR="00E32135">
        <w:rPr>
          <w:rFonts w:cstheme="minorHAnsi"/>
        </w:rPr>
        <w:t xml:space="preserve">alliance </w:t>
      </w:r>
      <w:r>
        <w:rPr>
          <w:rFonts w:cstheme="minorHAnsi"/>
        </w:rPr>
        <w:t xml:space="preserve">members in accessing </w:t>
      </w:r>
      <w:r w:rsidR="000B3D03">
        <w:rPr>
          <w:rFonts w:cstheme="minorHAnsi"/>
        </w:rPr>
        <w:t>My Aged Care Home Support and Comprehensive Assessment information.</w:t>
      </w:r>
      <w:r w:rsidR="00E32135">
        <w:rPr>
          <w:rFonts w:cstheme="minorHAnsi"/>
        </w:rPr>
        <w:t xml:space="preserve"> </w:t>
      </w:r>
    </w:p>
    <w:p w:rsidR="00DC6F43" w:rsidRDefault="00905DB6" w:rsidP="00DD14DC">
      <w:pPr>
        <w:spacing w:after="0" w:line="240" w:lineRule="auto"/>
        <w:rPr>
          <w:rFonts w:cstheme="minorHAnsi"/>
        </w:rPr>
      </w:pPr>
      <w:r>
        <w:rPr>
          <w:rFonts w:cstheme="minorHAnsi"/>
        </w:rPr>
        <w:t xml:space="preserve">An electronic copy of this </w:t>
      </w:r>
      <w:r w:rsidR="00941C36">
        <w:rPr>
          <w:rFonts w:cstheme="minorHAnsi"/>
        </w:rPr>
        <w:t xml:space="preserve">document </w:t>
      </w:r>
      <w:r w:rsidR="00CF31D0">
        <w:rPr>
          <w:rFonts w:cstheme="minorHAnsi"/>
        </w:rPr>
        <w:t>can</w:t>
      </w:r>
      <w:r>
        <w:rPr>
          <w:rFonts w:cstheme="minorHAnsi"/>
        </w:rPr>
        <w:t xml:space="preserve"> be </w:t>
      </w:r>
      <w:r w:rsidR="00C8532E">
        <w:rPr>
          <w:rFonts w:cstheme="minorHAnsi"/>
        </w:rPr>
        <w:t xml:space="preserve">accessed via </w:t>
      </w:r>
      <w:r>
        <w:rPr>
          <w:rFonts w:cstheme="minorHAnsi"/>
        </w:rPr>
        <w:t xml:space="preserve">the EMR Alliance website, </w:t>
      </w:r>
      <w:hyperlink r:id="rId7" w:history="1">
        <w:r w:rsidR="00AB5283" w:rsidRPr="00AB5283">
          <w:rPr>
            <w:rStyle w:val="Hyperlink"/>
            <w:rFonts w:cstheme="minorHAnsi"/>
            <w:color w:val="002060"/>
          </w:rPr>
          <w:t>http://www.emralliance.org/rdcras-updates.html</w:t>
        </w:r>
      </w:hyperlink>
      <w:r w:rsidR="00AB5283" w:rsidRPr="00AB5283">
        <w:rPr>
          <w:rFonts w:cstheme="minorHAnsi"/>
          <w:color w:val="002060"/>
        </w:rPr>
        <w:t xml:space="preserve"> </w:t>
      </w:r>
      <w:r w:rsidR="00AB5283">
        <w:rPr>
          <w:rFonts w:cstheme="minorHAnsi"/>
        </w:rPr>
        <w:t>.</w:t>
      </w:r>
      <w:bookmarkStart w:id="0" w:name="_GoBack"/>
      <w:bookmarkEnd w:id="0"/>
    </w:p>
    <w:p w:rsidR="000B3D03" w:rsidRDefault="00776812" w:rsidP="00DD14DC">
      <w:pPr>
        <w:rPr>
          <w:rFonts w:cstheme="minorHAnsi"/>
        </w:rPr>
      </w:pPr>
      <w:r>
        <w:rPr>
          <w:rFonts w:cstheme="minorHAnsi"/>
        </w:rPr>
        <w:t>Last updated 21/21/2017.</w:t>
      </w:r>
    </w:p>
    <w:p w:rsidR="000B3D03" w:rsidRDefault="000B3D03" w:rsidP="00DD14DC">
      <w:pPr>
        <w:rPr>
          <w:rFonts w:cstheme="minorHAnsi"/>
        </w:rPr>
      </w:pPr>
      <w:r>
        <w:rPr>
          <w:rFonts w:cstheme="minorHAnsi"/>
          <w:noProof/>
          <w:lang w:eastAsia="en-AU"/>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59801</wp:posOffset>
                </wp:positionV>
                <wp:extent cx="6348730" cy="0"/>
                <wp:effectExtent l="0" t="0" r="33020" b="19050"/>
                <wp:wrapNone/>
                <wp:docPr id="28" name="Straight Connector 28"/>
                <wp:cNvGraphicFramePr/>
                <a:graphic xmlns:a="http://schemas.openxmlformats.org/drawingml/2006/main">
                  <a:graphicData uri="http://schemas.microsoft.com/office/word/2010/wordprocessingShape">
                    <wps:wsp>
                      <wps:cNvCnPr/>
                      <wps:spPr>
                        <a:xfrm>
                          <a:off x="0" y="0"/>
                          <a:ext cx="63487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EACD6"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pt,4.7pt" to="501.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" strokecolor="#5b9bd5 [3204]" strokeweight=".5pt">
                <v:stroke joinstyle="miter"/>
              </v:line>
            </w:pict>
          </mc:Fallback>
        </mc:AlternateContent>
      </w:r>
    </w:p>
    <w:p w:rsidR="00DD14DC" w:rsidRPr="000B3D03" w:rsidRDefault="00DD14DC" w:rsidP="00DD14DC">
      <w:pPr>
        <w:rPr>
          <w:b/>
          <w:u w:val="single"/>
        </w:rPr>
      </w:pPr>
      <w:r w:rsidRPr="00B10EA7">
        <w:rPr>
          <w:b/>
          <w:u w:val="single"/>
        </w:rPr>
        <w:t>Accessing the Home Support or Comprehensive Assessment</w:t>
      </w:r>
    </w:p>
    <w:p w:rsidR="00DD14DC" w:rsidRDefault="00DD14DC" w:rsidP="00DD14DC">
      <w:r>
        <w:t>RAS assessors complete a Home Support Assessment and ACAS assessors complete a Comprehensive assessment.  Both types of assessments are completed via the same tool – the National Screening and Assessment Form (NSAF).</w:t>
      </w:r>
    </w:p>
    <w:p w:rsidR="00DD14DC" w:rsidRDefault="00DD14DC" w:rsidP="00DD14DC">
      <w:r>
        <w:t>There will be assessment information in the NSAF that may not be highlighted in the Assessment summary within a client’s Support plan.  It is recommended that service providers familiarise themselves with the information types available in the NSAF as it may assist providers in the development of service specific care plans.</w:t>
      </w:r>
    </w:p>
    <w:p w:rsidR="00764015" w:rsidRDefault="00764015" w:rsidP="00DD14DC"/>
    <w:p w:rsidR="00764015" w:rsidRDefault="00764015" w:rsidP="00DD14DC">
      <w:r>
        <w:t>To access before accepting the referral:</w:t>
      </w:r>
    </w:p>
    <w:p w:rsidR="00764015" w:rsidRDefault="00764015" w:rsidP="00DD14DC">
      <w:r>
        <w:t>Click on “VIEW REFERRAL SUMMARY AND CLIENT RECORD”.</w:t>
      </w:r>
    </w:p>
    <w:p w:rsidR="00764015" w:rsidRDefault="00764015" w:rsidP="00DD14DC">
      <w:r>
        <w:rPr>
          <w:noProof/>
          <w:lang w:eastAsia="en-AU"/>
        </w:rPr>
        <w:drawing>
          <wp:inline distT="0" distB="0" distL="0" distR="0" wp14:anchorId="50083FBF" wp14:editId="46C0267C">
            <wp:extent cx="6300470" cy="231711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2317115"/>
                    </a:xfrm>
                    <a:prstGeom prst="rect">
                      <a:avLst/>
                    </a:prstGeom>
                  </pic:spPr>
                </pic:pic>
              </a:graphicData>
            </a:graphic>
          </wp:inline>
        </w:drawing>
      </w:r>
    </w:p>
    <w:p w:rsidR="00764015" w:rsidRDefault="00764015" w:rsidP="00DD14DC">
      <w:r>
        <w:t>Then follow the same process as below.</w:t>
      </w:r>
    </w:p>
    <w:p w:rsidR="00764015" w:rsidRDefault="00764015" w:rsidP="00DD14DC"/>
    <w:p w:rsidR="00764015" w:rsidRDefault="00764015" w:rsidP="00DD14DC">
      <w:r>
        <w:t>All the below is after you have accepted the referral.</w:t>
      </w:r>
    </w:p>
    <w:p w:rsidR="00DD14DC" w:rsidRDefault="00DD14DC" w:rsidP="00DD14DC"/>
    <w:p w:rsidR="00DD14DC" w:rsidRDefault="00DD14DC" w:rsidP="00DD14DC">
      <w:pPr>
        <w:pStyle w:val="ListParagraph"/>
        <w:numPr>
          <w:ilvl w:val="0"/>
          <w:numId w:val="17"/>
        </w:numPr>
        <w:spacing w:after="0" w:line="276" w:lineRule="auto"/>
      </w:pPr>
      <w:r>
        <w:t>Go to the ‘Plans’ tab and expand ‘Assessment Details’</w:t>
      </w:r>
    </w:p>
    <w:p w:rsidR="00DD14DC" w:rsidRDefault="00DD14DC" w:rsidP="00DD14DC">
      <w:pPr>
        <w:pStyle w:val="ListParagraph"/>
      </w:pPr>
      <w:r>
        <w:rPr>
          <w:noProof/>
          <w:lang w:eastAsia="en-AU"/>
        </w:rPr>
        <w:lastRenderedPageBreak/>
        <w:drawing>
          <wp:inline distT="0" distB="0" distL="0" distR="0" wp14:anchorId="52A19712" wp14:editId="1C2D62F6">
            <wp:extent cx="5731510" cy="2362925"/>
            <wp:effectExtent l="0" t="0" r="0" b="0"/>
            <wp:docPr id="5" name="Picture 5" descr="cid:image002.png@01D3110A.143E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110A.143EEE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2362925"/>
                    </a:xfrm>
                    <a:prstGeom prst="rect">
                      <a:avLst/>
                    </a:prstGeom>
                    <a:noFill/>
                    <a:ln>
                      <a:noFill/>
                    </a:ln>
                  </pic:spPr>
                </pic:pic>
              </a:graphicData>
            </a:graphic>
          </wp:inline>
        </w:drawing>
      </w:r>
    </w:p>
    <w:p w:rsidR="00DD14DC" w:rsidRDefault="00DD14DC" w:rsidP="00DD14DC">
      <w:pPr>
        <w:pStyle w:val="ListParagraph"/>
        <w:numPr>
          <w:ilvl w:val="0"/>
          <w:numId w:val="17"/>
        </w:numPr>
        <w:spacing w:after="0" w:line="276" w:lineRule="auto"/>
      </w:pPr>
      <w:r>
        <w:t>Expand ‘Assessment history’</w:t>
      </w:r>
    </w:p>
    <w:p w:rsidR="00DD14DC" w:rsidRDefault="00DD14DC" w:rsidP="00DD14DC">
      <w:pPr>
        <w:pStyle w:val="ListParagraph"/>
      </w:pPr>
      <w:r>
        <w:t xml:space="preserve">This action will allow you to view all previously completed Assessments in My Aged Care </w:t>
      </w:r>
    </w:p>
    <w:p w:rsidR="000B3D03" w:rsidRDefault="00DD14DC" w:rsidP="00502244">
      <w:pPr>
        <w:pStyle w:val="ListParagraph"/>
      </w:pPr>
      <w:r>
        <w:rPr>
          <w:noProof/>
          <w:lang w:eastAsia="en-AU"/>
        </w:rPr>
        <w:drawing>
          <wp:inline distT="0" distB="0" distL="0" distR="0" wp14:anchorId="143A2D8B" wp14:editId="16F1ED7D">
            <wp:extent cx="5731510" cy="1096463"/>
            <wp:effectExtent l="0" t="0" r="0" b="0"/>
            <wp:docPr id="6" name="Picture 6" descr="cid:image003.png@01D3110A.143E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110A.143EEE1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1096463"/>
                    </a:xfrm>
                    <a:prstGeom prst="rect">
                      <a:avLst/>
                    </a:prstGeom>
                    <a:noFill/>
                    <a:ln>
                      <a:noFill/>
                    </a:ln>
                  </pic:spPr>
                </pic:pic>
              </a:graphicData>
            </a:graphic>
          </wp:inline>
        </w:drawing>
      </w:r>
    </w:p>
    <w:p w:rsidR="000B3D03" w:rsidRDefault="000B3D03" w:rsidP="00DD14DC">
      <w:pPr>
        <w:pStyle w:val="ListParagraph"/>
      </w:pPr>
    </w:p>
    <w:p w:rsidR="00DD14DC" w:rsidRDefault="00DD14DC" w:rsidP="00DD14DC">
      <w:pPr>
        <w:pStyle w:val="ListParagraph"/>
        <w:numPr>
          <w:ilvl w:val="0"/>
          <w:numId w:val="17"/>
        </w:numPr>
        <w:spacing w:after="0" w:line="276" w:lineRule="auto"/>
      </w:pPr>
      <w:r>
        <w:t>Expanding on Comprehensive Assessment will allow providers to view details of the ACAS assessment</w:t>
      </w:r>
    </w:p>
    <w:p w:rsidR="00DD14DC" w:rsidRDefault="00DD14DC" w:rsidP="00DD14DC">
      <w:pPr>
        <w:pStyle w:val="ListParagraph"/>
      </w:pPr>
      <w:r>
        <w:rPr>
          <w:noProof/>
          <w:lang w:eastAsia="en-AU"/>
        </w:rPr>
        <w:drawing>
          <wp:inline distT="0" distB="0" distL="0" distR="0" wp14:anchorId="5A308C88" wp14:editId="138C191F">
            <wp:extent cx="5731510" cy="678187"/>
            <wp:effectExtent l="0" t="0" r="0" b="0"/>
            <wp:docPr id="7" name="Picture 7" descr="cid:image004.png@01D3110A.143E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3110A.143EEE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678187"/>
                    </a:xfrm>
                    <a:prstGeom prst="rect">
                      <a:avLst/>
                    </a:prstGeom>
                    <a:noFill/>
                    <a:ln>
                      <a:noFill/>
                    </a:ln>
                  </pic:spPr>
                </pic:pic>
              </a:graphicData>
            </a:graphic>
          </wp:inline>
        </w:drawing>
      </w:r>
    </w:p>
    <w:p w:rsidR="000B3D03" w:rsidRDefault="000B3D03" w:rsidP="00DD14DC">
      <w:pPr>
        <w:pStyle w:val="ListParagraph"/>
      </w:pPr>
    </w:p>
    <w:p w:rsidR="00DD14DC" w:rsidRDefault="00DD14DC" w:rsidP="00DD14DC">
      <w:pPr>
        <w:pStyle w:val="ListParagraph"/>
        <w:numPr>
          <w:ilvl w:val="0"/>
          <w:numId w:val="17"/>
        </w:numPr>
        <w:spacing w:after="0" w:line="276" w:lineRule="auto"/>
      </w:pPr>
      <w:r>
        <w:t>Expanding on Home Support Assessment will allow providers to view details of the RAS assessment</w:t>
      </w:r>
    </w:p>
    <w:p w:rsidR="00DD14DC" w:rsidRDefault="00764015" w:rsidP="00DD14DC">
      <w:pPr>
        <w:pStyle w:val="ListParagraph"/>
      </w:pPr>
      <w:r>
        <w:rPr>
          <w:noProof/>
          <w:lang w:eastAsia="en-AU"/>
        </w:rPr>
        <w:drawing>
          <wp:inline distT="0" distB="0" distL="0" distR="0" wp14:anchorId="23E14282" wp14:editId="41ACE001">
            <wp:extent cx="6300470" cy="170307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1703070"/>
                    </a:xfrm>
                    <a:prstGeom prst="rect">
                      <a:avLst/>
                    </a:prstGeom>
                  </pic:spPr>
                </pic:pic>
              </a:graphicData>
            </a:graphic>
          </wp:inline>
        </w:drawing>
      </w:r>
    </w:p>
    <w:p w:rsidR="00764015" w:rsidRDefault="00502244" w:rsidP="00DD14DC">
      <w:pPr>
        <w:pStyle w:val="ListParagraph"/>
      </w:pPr>
      <w:r>
        <w:t>Only by</w:t>
      </w:r>
      <w:r w:rsidR="00764015">
        <w:t xml:space="preserve"> expanding the assessment docum</w:t>
      </w:r>
      <w:r>
        <w:t>ent does a print options become visi</w:t>
      </w:r>
      <w:r w:rsidR="00764015">
        <w:t>ble.</w:t>
      </w:r>
    </w:p>
    <w:p w:rsidR="00764015" w:rsidRDefault="00764015" w:rsidP="00DD14DC">
      <w:pPr>
        <w:pStyle w:val="ListParagraph"/>
      </w:pPr>
      <w:r>
        <w:rPr>
          <w:noProof/>
          <w:lang w:eastAsia="en-AU"/>
        </w:rPr>
        <w:lastRenderedPageBreak/>
        <w:drawing>
          <wp:inline distT="0" distB="0" distL="0" distR="0" wp14:anchorId="743BC04A" wp14:editId="26A43170">
            <wp:extent cx="6300470" cy="102489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1024890"/>
                    </a:xfrm>
                    <a:prstGeom prst="rect">
                      <a:avLst/>
                    </a:prstGeom>
                  </pic:spPr>
                </pic:pic>
              </a:graphicData>
            </a:graphic>
          </wp:inline>
        </w:drawing>
      </w:r>
    </w:p>
    <w:p w:rsidR="00502244" w:rsidRDefault="00502244" w:rsidP="00502244">
      <w:r>
        <w:rPr>
          <w:b/>
        </w:rPr>
        <w:t xml:space="preserve">              </w:t>
      </w:r>
      <w:r>
        <w:t xml:space="preserve">Click on the print symbol to view a PDF file of the </w:t>
      </w:r>
      <w:r>
        <w:t xml:space="preserve">assessment, choose to print or download/save it. NOTE: all assessments use the Nation Screening Assessment Form template and is a minimum of 50 pages long. </w:t>
      </w:r>
    </w:p>
    <w:p w:rsidR="000B3D03" w:rsidRDefault="00502244" w:rsidP="00502244">
      <w:pPr>
        <w:pStyle w:val="ListParagraph"/>
      </w:pPr>
      <w:r>
        <w:tab/>
      </w:r>
      <w:r>
        <w:tab/>
      </w:r>
      <w:r>
        <w:rPr>
          <w:noProof/>
          <w:lang w:eastAsia="en-AU"/>
        </w:rPr>
        <w:drawing>
          <wp:inline distT="0" distB="0" distL="0" distR="0" wp14:anchorId="2CF74422" wp14:editId="24FD9C9A">
            <wp:extent cx="59055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550" cy="371475"/>
                    </a:xfrm>
                    <a:prstGeom prst="rect">
                      <a:avLst/>
                    </a:prstGeom>
                  </pic:spPr>
                </pic:pic>
              </a:graphicData>
            </a:graphic>
          </wp:inline>
        </w:drawing>
      </w:r>
    </w:p>
    <w:p w:rsidR="00502244" w:rsidRDefault="00502244" w:rsidP="00502244">
      <w:pPr>
        <w:pStyle w:val="ListParagraph"/>
      </w:pPr>
    </w:p>
    <w:p w:rsidR="00502244" w:rsidRDefault="00502244" w:rsidP="00502244">
      <w:pPr>
        <w:pStyle w:val="ListParagraph"/>
      </w:pPr>
    </w:p>
    <w:p w:rsidR="00DD14DC" w:rsidRDefault="00DD14DC" w:rsidP="00DD14DC">
      <w:pPr>
        <w:pStyle w:val="ListParagraph"/>
        <w:numPr>
          <w:ilvl w:val="0"/>
          <w:numId w:val="17"/>
        </w:numPr>
        <w:spacing w:after="0" w:line="276" w:lineRule="auto"/>
      </w:pPr>
      <w:r>
        <w:t>Click on the link to the Home Support Assessment to view the RAS assessment (NSAF)</w:t>
      </w:r>
    </w:p>
    <w:p w:rsidR="00DD14DC" w:rsidRDefault="00DD14DC" w:rsidP="00DD14DC">
      <w:pPr>
        <w:pStyle w:val="ListParagraph"/>
      </w:pPr>
      <w:r>
        <w:rPr>
          <w:noProof/>
          <w:lang w:eastAsia="en-AU"/>
        </w:rPr>
        <w:drawing>
          <wp:inline distT="0" distB="0" distL="0" distR="0" wp14:anchorId="1973BCE7" wp14:editId="0822B5F9">
            <wp:extent cx="38100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000" cy="228600"/>
                    </a:xfrm>
                    <a:prstGeom prst="rect">
                      <a:avLst/>
                    </a:prstGeom>
                  </pic:spPr>
                </pic:pic>
              </a:graphicData>
            </a:graphic>
          </wp:inline>
        </w:drawing>
      </w:r>
    </w:p>
    <w:p w:rsidR="00DD14DC" w:rsidRDefault="00DD14DC" w:rsidP="00DD14DC">
      <w:pPr>
        <w:pStyle w:val="ListParagraph"/>
      </w:pPr>
      <w:r>
        <w:t xml:space="preserve">This will allow providers to move around the domains of the NSAF tool and view information identified and recorded during RAS assessment.  Selecting the links on the left hand side (e.g. Event Details, Function, Health conditions </w:t>
      </w:r>
      <w:proofErr w:type="spellStart"/>
      <w:r>
        <w:t>etc</w:t>
      </w:r>
      <w:proofErr w:type="spellEnd"/>
      <w:r>
        <w:t>…) will expand the domain allow for more details to be viewed in the box on the right hand side:</w:t>
      </w:r>
    </w:p>
    <w:p w:rsidR="00DD14DC" w:rsidRPr="00BA2141" w:rsidRDefault="00DD14DC" w:rsidP="00DD14DC">
      <w:pPr>
        <w:pStyle w:val="ListParagraph"/>
      </w:pPr>
      <w:r>
        <w:rPr>
          <w:noProof/>
          <w:lang w:eastAsia="en-AU"/>
        </w:rPr>
        <w:drawing>
          <wp:inline distT="0" distB="0" distL="0" distR="0" wp14:anchorId="36ABD2F2" wp14:editId="78C85E4F">
            <wp:extent cx="5731510" cy="3182117"/>
            <wp:effectExtent l="0" t="0" r="0" b="0"/>
            <wp:docPr id="10" name="Picture 10" descr="cid:image006.png@01D3110A.76601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png@01D3110A.766015B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182117"/>
                    </a:xfrm>
                    <a:prstGeom prst="rect">
                      <a:avLst/>
                    </a:prstGeom>
                    <a:noFill/>
                    <a:ln>
                      <a:noFill/>
                    </a:ln>
                  </pic:spPr>
                </pic:pic>
              </a:graphicData>
            </a:graphic>
          </wp:inline>
        </w:drawing>
      </w:r>
    </w:p>
    <w:p w:rsidR="00DD14DC" w:rsidRDefault="00DD14DC" w:rsidP="00DD14DC">
      <w:r>
        <w:tab/>
      </w:r>
    </w:p>
    <w:p w:rsidR="00DD14DC" w:rsidRPr="00D56371" w:rsidRDefault="00DD14DC" w:rsidP="00DD14DC">
      <w:r>
        <w:tab/>
      </w:r>
      <w:r>
        <w:tab/>
      </w:r>
    </w:p>
    <w:p w:rsidR="00DD14DC" w:rsidRPr="00B10EA7" w:rsidRDefault="00DD14DC" w:rsidP="00DD14DC">
      <w:pPr>
        <w:rPr>
          <w:b/>
          <w:u w:val="single"/>
        </w:rPr>
      </w:pPr>
      <w:r w:rsidRPr="00B10EA7">
        <w:rPr>
          <w:b/>
          <w:u w:val="single"/>
        </w:rPr>
        <w:t>Accessing a client’s Support plan</w:t>
      </w:r>
    </w:p>
    <w:p w:rsidR="00DD14DC" w:rsidRDefault="00DD14DC" w:rsidP="00DD14DC">
      <w:r>
        <w:t>Following system upgrades in July 2017, there are now several pathways to access a client’s Support plan.</w:t>
      </w:r>
    </w:p>
    <w:p w:rsidR="00DD14DC" w:rsidRDefault="00DD14DC" w:rsidP="00DD14DC">
      <w:pPr>
        <w:pStyle w:val="ListParagraph"/>
        <w:numPr>
          <w:ilvl w:val="0"/>
          <w:numId w:val="18"/>
        </w:numPr>
        <w:spacing w:after="0" w:line="276" w:lineRule="auto"/>
      </w:pPr>
      <w:r>
        <w:lastRenderedPageBreak/>
        <w:t>In the ‘</w:t>
      </w:r>
      <w:r w:rsidRPr="007177D4">
        <w:rPr>
          <w:b/>
        </w:rPr>
        <w:t>Client Record</w:t>
      </w:r>
      <w:r>
        <w:t>’ Tab</w:t>
      </w:r>
    </w:p>
    <w:p w:rsidR="00776812" w:rsidRDefault="00776812" w:rsidP="00776812">
      <w:pPr>
        <w:pStyle w:val="ListParagraph"/>
        <w:spacing w:after="0" w:line="276" w:lineRule="auto"/>
        <w:ind w:left="1080"/>
      </w:pPr>
      <w:r>
        <w:rPr>
          <w:noProof/>
          <w:lang w:eastAsia="en-AU"/>
        </w:rPr>
        <w:drawing>
          <wp:inline distT="0" distB="0" distL="0" distR="0" wp14:anchorId="5137AB57" wp14:editId="7FED886A">
            <wp:extent cx="6300470" cy="159702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1597025"/>
                    </a:xfrm>
                    <a:prstGeom prst="rect">
                      <a:avLst/>
                    </a:prstGeom>
                  </pic:spPr>
                </pic:pic>
              </a:graphicData>
            </a:graphic>
          </wp:inline>
        </w:drawing>
      </w:r>
    </w:p>
    <w:p w:rsidR="00DD14DC" w:rsidRDefault="00DD14DC" w:rsidP="00DD14DC">
      <w:pPr>
        <w:pStyle w:val="ListParagraph"/>
        <w:ind w:left="1080"/>
      </w:pPr>
      <w:r>
        <w:rPr>
          <w:noProof/>
          <w:lang w:eastAsia="en-AU"/>
        </w:rPr>
        <w:drawing>
          <wp:inline distT="0" distB="0" distL="0" distR="0" wp14:anchorId="33A990D2" wp14:editId="0B25A9C6">
            <wp:extent cx="5731510" cy="1973530"/>
            <wp:effectExtent l="0" t="0" r="0" b="0"/>
            <wp:docPr id="9" name="Picture 9" descr="cid:image005.png@01D3110A.D4153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3110A.D41530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31510" cy="1973530"/>
                    </a:xfrm>
                    <a:prstGeom prst="rect">
                      <a:avLst/>
                    </a:prstGeom>
                    <a:noFill/>
                    <a:ln>
                      <a:noFill/>
                    </a:ln>
                  </pic:spPr>
                </pic:pic>
              </a:graphicData>
            </a:graphic>
          </wp:inline>
        </w:drawing>
      </w:r>
    </w:p>
    <w:p w:rsidR="00DD14DC" w:rsidRDefault="00DD14DC" w:rsidP="00DD14DC">
      <w:pPr>
        <w:pStyle w:val="ListParagraph"/>
        <w:numPr>
          <w:ilvl w:val="0"/>
          <w:numId w:val="18"/>
        </w:numPr>
        <w:spacing w:after="0" w:line="276" w:lineRule="auto"/>
      </w:pPr>
      <w:r>
        <w:t>In the ‘</w:t>
      </w:r>
      <w:r w:rsidRPr="007177D4">
        <w:rPr>
          <w:b/>
        </w:rPr>
        <w:t>Plans</w:t>
      </w:r>
      <w:r>
        <w:t>’ tab</w:t>
      </w:r>
    </w:p>
    <w:p w:rsidR="00DD14DC" w:rsidRDefault="00DD14DC" w:rsidP="00DD14DC">
      <w:pPr>
        <w:pStyle w:val="ListParagraph"/>
        <w:numPr>
          <w:ilvl w:val="1"/>
          <w:numId w:val="18"/>
        </w:numPr>
        <w:spacing w:after="0" w:line="276" w:lineRule="auto"/>
      </w:pPr>
      <w:r>
        <w:t>Click on ‘Plans history’</w:t>
      </w:r>
    </w:p>
    <w:p w:rsidR="00DD14DC" w:rsidRPr="007177D4" w:rsidRDefault="00DD14DC" w:rsidP="00DD14DC">
      <w:pPr>
        <w:pStyle w:val="ListParagraph"/>
        <w:ind w:left="1080"/>
      </w:pPr>
      <w:r>
        <w:rPr>
          <w:noProof/>
          <w:lang w:eastAsia="en-AU"/>
        </w:rPr>
        <w:drawing>
          <wp:inline distT="0" distB="0" distL="0" distR="0" wp14:anchorId="3EEED078" wp14:editId="6AC066A1">
            <wp:extent cx="5730618" cy="2712720"/>
            <wp:effectExtent l="0" t="0" r="0" b="0"/>
            <wp:docPr id="3" name="Picture 3" descr="cid:image008.png@01D3110A.D4153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8.png@01D3110A.D41530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36424" cy="2715469"/>
                    </a:xfrm>
                    <a:prstGeom prst="rect">
                      <a:avLst/>
                    </a:prstGeom>
                    <a:noFill/>
                    <a:ln>
                      <a:noFill/>
                    </a:ln>
                  </pic:spPr>
                </pic:pic>
              </a:graphicData>
            </a:graphic>
          </wp:inline>
        </w:drawing>
      </w:r>
    </w:p>
    <w:p w:rsidR="00DD14DC" w:rsidRDefault="00DD14DC" w:rsidP="00DD14DC">
      <w:pPr>
        <w:pStyle w:val="ListParagraph"/>
        <w:numPr>
          <w:ilvl w:val="1"/>
          <w:numId w:val="18"/>
        </w:numPr>
        <w:spacing w:after="0" w:line="276" w:lineRule="auto"/>
      </w:pPr>
      <w:r>
        <w:t xml:space="preserve">Select the link to the appropriate Support plan </w:t>
      </w:r>
    </w:p>
    <w:p w:rsidR="00DD14DC" w:rsidRPr="007177D4" w:rsidRDefault="00DD14DC" w:rsidP="00DD14DC">
      <w:pPr>
        <w:pStyle w:val="ListParagraph"/>
        <w:ind w:left="1800"/>
      </w:pPr>
      <w:r>
        <w:rPr>
          <w:noProof/>
          <w:lang w:eastAsia="en-AU"/>
        </w:rPr>
        <w:lastRenderedPageBreak/>
        <w:drawing>
          <wp:inline distT="0" distB="0" distL="0" distR="0" wp14:anchorId="722E22ED" wp14:editId="6EFEC246">
            <wp:extent cx="5151120" cy="1638300"/>
            <wp:effectExtent l="0" t="0" r="0" b="0"/>
            <wp:docPr id="4" name="Picture 4" descr="cid:image009.png@01D3110A.D4153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9.png@01D3110A.D41530A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151120" cy="1638300"/>
                    </a:xfrm>
                    <a:prstGeom prst="rect">
                      <a:avLst/>
                    </a:prstGeom>
                    <a:noFill/>
                    <a:ln>
                      <a:noFill/>
                    </a:ln>
                  </pic:spPr>
                </pic:pic>
              </a:graphicData>
            </a:graphic>
          </wp:inline>
        </w:drawing>
      </w:r>
    </w:p>
    <w:p w:rsidR="00776812" w:rsidRDefault="00776812" w:rsidP="00776812">
      <w:pPr>
        <w:rPr>
          <w:b/>
        </w:rPr>
      </w:pPr>
      <w:r w:rsidRPr="00776812">
        <w:rPr>
          <w:b/>
        </w:rPr>
        <w:t xml:space="preserve">Note: </w:t>
      </w:r>
      <w:r w:rsidRPr="00776812">
        <w:rPr>
          <w:b/>
        </w:rPr>
        <w:t>This is the end of possible options prior to accepting a referral.</w:t>
      </w:r>
    </w:p>
    <w:p w:rsidR="00776812" w:rsidRPr="00776812" w:rsidRDefault="00776812" w:rsidP="00776812">
      <w:pPr>
        <w:rPr>
          <w:b/>
        </w:rPr>
      </w:pPr>
      <w:r>
        <w:rPr>
          <w:b/>
        </w:rPr>
        <w:t xml:space="preserve">Providers are encouraged to read “Notes” prior to accepting referrals as assessors use this to add extra information that may be relevant. </w:t>
      </w:r>
      <w:proofErr w:type="gramStart"/>
      <w:r>
        <w:rPr>
          <w:b/>
        </w:rPr>
        <w:t>e.g</w:t>
      </w:r>
      <w:proofErr w:type="gramEnd"/>
      <w:r>
        <w:rPr>
          <w:b/>
        </w:rPr>
        <w:t>. sensitive information regarding assessor concerns, contact issues.</w:t>
      </w:r>
    </w:p>
    <w:p w:rsidR="00DD14DC" w:rsidRDefault="00776812" w:rsidP="00DD14DC">
      <w:pPr>
        <w:rPr>
          <w:b/>
        </w:rPr>
      </w:pPr>
      <w:r>
        <w:rPr>
          <w:noProof/>
          <w:lang w:eastAsia="en-AU"/>
        </w:rPr>
        <w:drawing>
          <wp:inline distT="0" distB="0" distL="0" distR="0" wp14:anchorId="211883DE" wp14:editId="4487932C">
            <wp:extent cx="6300470" cy="158559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0470" cy="1585595"/>
                    </a:xfrm>
                    <a:prstGeom prst="rect">
                      <a:avLst/>
                    </a:prstGeom>
                  </pic:spPr>
                </pic:pic>
              </a:graphicData>
            </a:graphic>
          </wp:inline>
        </w:drawing>
      </w:r>
    </w:p>
    <w:p w:rsidR="00776812" w:rsidRDefault="00DD14DC" w:rsidP="00DD14DC">
      <w:pPr>
        <w:rPr>
          <w:b/>
        </w:rPr>
      </w:pPr>
      <w:r>
        <w:rPr>
          <w:b/>
        </w:rPr>
        <w:t>Initiating a Support plan review via the Service provider portal</w:t>
      </w:r>
    </w:p>
    <w:p w:rsidR="00DD14DC" w:rsidRDefault="00DD14DC" w:rsidP="00DD14DC">
      <w:pPr>
        <w:rPr>
          <w:b/>
        </w:rPr>
      </w:pPr>
    </w:p>
    <w:p w:rsidR="00DD14DC" w:rsidRDefault="00DD14DC" w:rsidP="00DD14DC">
      <w:pPr>
        <w:pStyle w:val="ListParagraph"/>
        <w:numPr>
          <w:ilvl w:val="0"/>
          <w:numId w:val="16"/>
        </w:numPr>
        <w:spacing w:after="0" w:line="276" w:lineRule="auto"/>
      </w:pPr>
      <w:r>
        <w:t>Log into the Service provider portal and select the appropriate client record.</w:t>
      </w:r>
    </w:p>
    <w:p w:rsidR="00DD14DC" w:rsidRDefault="00DD14DC" w:rsidP="00DD14DC">
      <w:pPr>
        <w:pStyle w:val="ListParagraph"/>
        <w:numPr>
          <w:ilvl w:val="0"/>
          <w:numId w:val="16"/>
        </w:numPr>
        <w:spacing w:after="0" w:line="276" w:lineRule="auto"/>
      </w:pPr>
      <w:r>
        <w:t>Select the Client record tab</w:t>
      </w:r>
    </w:p>
    <w:p w:rsidR="00DD14DC" w:rsidRDefault="00DD14DC" w:rsidP="00DD14DC">
      <w:pPr>
        <w:pStyle w:val="ListParagraph"/>
        <w:numPr>
          <w:ilvl w:val="0"/>
          <w:numId w:val="16"/>
        </w:numPr>
        <w:spacing w:after="0" w:line="276" w:lineRule="auto"/>
      </w:pPr>
      <w:r>
        <w:t>Click on the ‘Request A Review’ button</w:t>
      </w:r>
    </w:p>
    <w:p w:rsidR="00DD14DC" w:rsidRDefault="00DD14DC" w:rsidP="00DD14DC">
      <w:pPr>
        <w:pStyle w:val="ListParagraph"/>
      </w:pPr>
      <w:r>
        <w:rPr>
          <w:noProof/>
          <w:lang w:eastAsia="en-AU"/>
        </w:rPr>
        <w:drawing>
          <wp:inline distT="0" distB="0" distL="0" distR="0" wp14:anchorId="3E6FF216" wp14:editId="67A71D2B">
            <wp:extent cx="4914900" cy="1156335"/>
            <wp:effectExtent l="0" t="0" r="0" b="0"/>
            <wp:docPr id="1" name="Picture 1" descr="cid:image007.png@01D3110B.1974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7.png@01D3110B.197496E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16519" cy="1156716"/>
                    </a:xfrm>
                    <a:prstGeom prst="rect">
                      <a:avLst/>
                    </a:prstGeom>
                    <a:noFill/>
                    <a:ln>
                      <a:noFill/>
                    </a:ln>
                  </pic:spPr>
                </pic:pic>
              </a:graphicData>
            </a:graphic>
          </wp:inline>
        </w:drawing>
      </w:r>
    </w:p>
    <w:p w:rsidR="00DD14DC" w:rsidRPr="00D37B4C" w:rsidRDefault="00DD14DC" w:rsidP="00DD14DC">
      <w:pPr>
        <w:tabs>
          <w:tab w:val="left" w:pos="3756"/>
        </w:tabs>
        <w:ind w:left="426"/>
      </w:pPr>
      <w:r>
        <w:t>Requesting a Support plan review will send an electronic notification to the Assessment outlet that completed the most recent client assessment and support plan.  A Support plan review request will appear in the ‘Review’ tab in the outlet’s My Aged Care Assessor portal.</w:t>
      </w:r>
    </w:p>
    <w:p w:rsidR="00BC5835" w:rsidRDefault="00BC5835" w:rsidP="00DC6F43"/>
    <w:sectPr w:rsidR="00BC5835" w:rsidSect="000B3D03">
      <w:headerReference w:type="default" r:id="rId31"/>
      <w:footerReference w:type="default" r:id="rId32"/>
      <w:pgSz w:w="11906" w:h="16838"/>
      <w:pgMar w:top="2127" w:right="991" w:bottom="1134" w:left="993"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B76" w:rsidRDefault="00517B76" w:rsidP="00B83A96">
      <w:pPr>
        <w:spacing w:after="0" w:line="240" w:lineRule="auto"/>
      </w:pPr>
      <w:r>
        <w:separator/>
      </w:r>
    </w:p>
  </w:endnote>
  <w:endnote w:type="continuationSeparator" w:id="0">
    <w:p w:rsidR="00517B76" w:rsidRDefault="00517B76" w:rsidP="00B83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A96" w:rsidRDefault="00B83A96" w:rsidP="00B83A96">
    <w:pPr>
      <w:pStyle w:val="NormalWeb"/>
      <w:rPr>
        <w:rFonts w:ascii="Arial" w:hAnsi="Arial" w:cs="Arial"/>
        <w:sz w:val="14"/>
        <w:szCs w:val="14"/>
      </w:rPr>
    </w:pPr>
  </w:p>
  <w:p w:rsidR="00B83A96" w:rsidRDefault="00B83A96" w:rsidP="00B83A96">
    <w:pPr>
      <w:pStyle w:val="NormalWeb"/>
      <w:rPr>
        <w:i/>
        <w:iCs/>
        <w:sz w:val="14"/>
        <w:szCs w:val="14"/>
      </w:rPr>
    </w:pPr>
    <w:r w:rsidRPr="008A7566">
      <w:rPr>
        <w:rFonts w:ascii="Arial" w:hAnsi="Arial" w:cs="Arial"/>
        <w:sz w:val="14"/>
        <w:szCs w:val="14"/>
      </w:rPr>
      <w:t>The EMR Alliance is supported by the Victorian Government and supported by the Australian Government Department of Health. Visit the Department</w:t>
    </w:r>
    <w:r w:rsidRPr="008A7566">
      <w:rPr>
        <w:rStyle w:val="Hyperlink"/>
        <w:rFonts w:eastAsia="MS Gothic" w:cs="Arial"/>
        <w:sz w:val="14"/>
        <w:szCs w:val="14"/>
      </w:rPr>
      <w:t xml:space="preserve"> of Health</w:t>
    </w:r>
    <w:r>
      <w:rPr>
        <w:rFonts w:ascii="Arial" w:hAnsi="Arial" w:cs="Arial"/>
        <w:sz w:val="14"/>
        <w:szCs w:val="14"/>
      </w:rPr>
      <w:t xml:space="preserve"> website </w:t>
    </w:r>
    <w:r w:rsidRPr="004D3FC4">
      <w:rPr>
        <w:rFonts w:ascii="Arial" w:hAnsi="Arial" w:cs="Arial"/>
        <w:sz w:val="14"/>
        <w:szCs w:val="14"/>
      </w:rPr>
      <w:t>(</w:t>
    </w:r>
    <w:hyperlink r:id="rId1" w:history="1">
      <w:r w:rsidRPr="004D3FC4">
        <w:rPr>
          <w:rStyle w:val="Hyperlink"/>
          <w:rFonts w:ascii="Arial" w:hAnsi="Arial" w:cs="Arial"/>
          <w:sz w:val="14"/>
          <w:szCs w:val="14"/>
        </w:rPr>
        <w:t>http://www.health.gov.au/)</w:t>
      </w:r>
    </w:hyperlink>
    <w:r w:rsidRPr="004D3FC4">
      <w:rPr>
        <w:rFonts w:ascii="Arial" w:hAnsi="Arial" w:cs="Arial"/>
        <w:b/>
        <w:bCs/>
        <w:i/>
        <w:iCs/>
        <w:sz w:val="14"/>
        <w:szCs w:val="14"/>
      </w:rPr>
      <w:t xml:space="preserve"> </w:t>
    </w:r>
    <w:r w:rsidRPr="004D3FC4">
      <w:rPr>
        <w:rFonts w:ascii="Arial" w:hAnsi="Arial" w:cs="Arial"/>
        <w:sz w:val="14"/>
        <w:szCs w:val="14"/>
      </w:rPr>
      <w:t>for more information.</w:t>
    </w:r>
    <w:r w:rsidRPr="004D3FC4">
      <w:rPr>
        <w:sz w:val="14"/>
        <w:szCs w:val="14"/>
      </w:rPr>
      <w:t xml:space="preserve"> </w:t>
    </w:r>
    <w:r w:rsidRPr="004D3FC4">
      <w:rPr>
        <w:rFonts w:ascii="Arial" w:hAnsi="Arial" w:cs="Arial"/>
        <w:i/>
        <w:iCs/>
        <w:sz w:val="14"/>
        <w:szCs w:val="14"/>
      </w:rPr>
      <w:t xml:space="preserve">Disclaimer: Although funding for this </w:t>
    </w:r>
    <w:r>
      <w:rPr>
        <w:rFonts w:ascii="Arial" w:hAnsi="Arial" w:cs="Arial"/>
        <w:i/>
        <w:iCs/>
        <w:sz w:val="14"/>
        <w:szCs w:val="14"/>
      </w:rPr>
      <w:t>Alliance</w:t>
    </w:r>
    <w:r w:rsidRPr="004D3FC4">
      <w:rPr>
        <w:rFonts w:ascii="Arial" w:hAnsi="Arial" w:cs="Arial"/>
        <w:i/>
        <w:iCs/>
        <w:sz w:val="14"/>
        <w:szCs w:val="14"/>
      </w:rPr>
      <w:t xml:space="preserve"> has been provided by the Australian Government, the material contained herein does not necessarily represent the views or policies of the Australian Government.</w:t>
    </w:r>
    <w:r w:rsidRPr="004D3FC4">
      <w:rPr>
        <w:i/>
        <w:iCs/>
        <w:sz w:val="14"/>
        <w:szCs w:val="14"/>
      </w:rPr>
      <w:t xml:space="preserve"> </w:t>
    </w:r>
  </w:p>
  <w:p w:rsidR="00B83A96" w:rsidRDefault="00B83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B76" w:rsidRDefault="00517B76" w:rsidP="00B83A96">
      <w:pPr>
        <w:spacing w:after="0" w:line="240" w:lineRule="auto"/>
      </w:pPr>
      <w:r>
        <w:separator/>
      </w:r>
    </w:p>
  </w:footnote>
  <w:footnote w:type="continuationSeparator" w:id="0">
    <w:p w:rsidR="00517B76" w:rsidRDefault="00517B76" w:rsidP="00B83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A96" w:rsidRDefault="00DD14DC" w:rsidP="00DD14DC">
    <w:pPr>
      <w:pStyle w:val="Header"/>
      <w:jc w:val="center"/>
    </w:pPr>
    <w:r>
      <w:tab/>
    </w:r>
    <w:r>
      <w:tab/>
    </w:r>
    <w:r w:rsidR="00BE15B6" w:rsidRPr="00BE15B6">
      <w:rPr>
        <w:noProof/>
        <w:lang w:eastAsia="en-AU"/>
      </w:rPr>
      <w:drawing>
        <wp:inline distT="0" distB="0" distL="0" distR="0">
          <wp:extent cx="2179745" cy="1113748"/>
          <wp:effectExtent l="0" t="0" r="0" b="0"/>
          <wp:docPr id="27" name="Picture 27" descr="O:\ASM and Diversity\EMR Alliance\Sector development team\RDC\Ayeshas Desktop docs\Alliance\Templates\EMR Alliance with bi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SM and Diversity\EMR Alliance\Sector development team\RDC\Ayeshas Desktop docs\Alliance\Templates\EMR Alliance with bi_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3192" cy="1120619"/>
                  </a:xfrm>
                  <a:prstGeom prst="rect">
                    <a:avLst/>
                  </a:prstGeom>
                  <a:noFill/>
                  <a:ln>
                    <a:noFill/>
                  </a:ln>
                </pic:spPr>
              </pic:pic>
            </a:graphicData>
          </a:graphic>
        </wp:inline>
      </w:drawing>
    </w:r>
  </w:p>
  <w:p w:rsidR="00B83A96" w:rsidRDefault="00B83A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D1DB9"/>
    <w:multiLevelType w:val="hybridMultilevel"/>
    <w:tmpl w:val="77185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85C3CBA"/>
    <w:multiLevelType w:val="hybridMultilevel"/>
    <w:tmpl w:val="DCBE06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2100AC"/>
    <w:multiLevelType w:val="hybridMultilevel"/>
    <w:tmpl w:val="08B44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86187A"/>
    <w:multiLevelType w:val="hybridMultilevel"/>
    <w:tmpl w:val="546C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B56601"/>
    <w:multiLevelType w:val="hybridMultilevel"/>
    <w:tmpl w:val="070E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A54552"/>
    <w:multiLevelType w:val="hybridMultilevel"/>
    <w:tmpl w:val="CDA01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5766FF0"/>
    <w:multiLevelType w:val="hybridMultilevel"/>
    <w:tmpl w:val="166CB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AC8294C"/>
    <w:multiLevelType w:val="hybridMultilevel"/>
    <w:tmpl w:val="BEBEF3A6"/>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2A27C5"/>
    <w:multiLevelType w:val="multilevel"/>
    <w:tmpl w:val="EABA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E2175B"/>
    <w:multiLevelType w:val="hybridMultilevel"/>
    <w:tmpl w:val="64602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B801717"/>
    <w:multiLevelType w:val="hybridMultilevel"/>
    <w:tmpl w:val="2F682CD4"/>
    <w:lvl w:ilvl="0" w:tplc="89D6532C">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5CAD30CD"/>
    <w:multiLevelType w:val="hybridMultilevel"/>
    <w:tmpl w:val="377E4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86E0565"/>
    <w:multiLevelType w:val="hybridMultilevel"/>
    <w:tmpl w:val="2194A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8C44B2"/>
    <w:multiLevelType w:val="hybridMultilevel"/>
    <w:tmpl w:val="3A4A7E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BF844C7"/>
    <w:multiLevelType w:val="hybridMultilevel"/>
    <w:tmpl w:val="AF389D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22062E"/>
    <w:multiLevelType w:val="hybridMultilevel"/>
    <w:tmpl w:val="7E5AC7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D3D59DE"/>
    <w:multiLevelType w:val="hybridMultilevel"/>
    <w:tmpl w:val="BC524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8624B0"/>
    <w:multiLevelType w:val="multilevel"/>
    <w:tmpl w:val="5B12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7"/>
  </w:num>
  <w:num w:numId="5">
    <w:abstractNumId w:val="5"/>
  </w:num>
  <w:num w:numId="6">
    <w:abstractNumId w:val="14"/>
  </w:num>
  <w:num w:numId="7">
    <w:abstractNumId w:val="13"/>
  </w:num>
  <w:num w:numId="8">
    <w:abstractNumId w:val="15"/>
  </w:num>
  <w:num w:numId="9">
    <w:abstractNumId w:val="17"/>
  </w:num>
  <w:num w:numId="10">
    <w:abstractNumId w:val="2"/>
  </w:num>
  <w:num w:numId="11">
    <w:abstractNumId w:val="16"/>
  </w:num>
  <w:num w:numId="12">
    <w:abstractNumId w:val="4"/>
  </w:num>
  <w:num w:numId="13">
    <w:abstractNumId w:val="6"/>
  </w:num>
  <w:num w:numId="14">
    <w:abstractNumId w:val="12"/>
  </w:num>
  <w:num w:numId="15">
    <w:abstractNumId w:val="9"/>
  </w:num>
  <w:num w:numId="16">
    <w:abstractNumId w:val="1"/>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FC6"/>
    <w:rsid w:val="00040312"/>
    <w:rsid w:val="000B3D03"/>
    <w:rsid w:val="00116F68"/>
    <w:rsid w:val="001C7782"/>
    <w:rsid w:val="00200EF2"/>
    <w:rsid w:val="002446D3"/>
    <w:rsid w:val="002F47BD"/>
    <w:rsid w:val="00335FC6"/>
    <w:rsid w:val="00342579"/>
    <w:rsid w:val="00431AFD"/>
    <w:rsid w:val="00454DFE"/>
    <w:rsid w:val="00502244"/>
    <w:rsid w:val="00517B76"/>
    <w:rsid w:val="00537E95"/>
    <w:rsid w:val="00567D79"/>
    <w:rsid w:val="005B05EE"/>
    <w:rsid w:val="006507E7"/>
    <w:rsid w:val="007235A4"/>
    <w:rsid w:val="00764015"/>
    <w:rsid w:val="00776812"/>
    <w:rsid w:val="00816C69"/>
    <w:rsid w:val="00856C3E"/>
    <w:rsid w:val="008632DE"/>
    <w:rsid w:val="008A6EEE"/>
    <w:rsid w:val="008B426A"/>
    <w:rsid w:val="00905DB6"/>
    <w:rsid w:val="00920B14"/>
    <w:rsid w:val="00932A20"/>
    <w:rsid w:val="00941C36"/>
    <w:rsid w:val="00A41F4F"/>
    <w:rsid w:val="00AB5283"/>
    <w:rsid w:val="00B11474"/>
    <w:rsid w:val="00B83A96"/>
    <w:rsid w:val="00BA57D0"/>
    <w:rsid w:val="00BC5835"/>
    <w:rsid w:val="00BE15B6"/>
    <w:rsid w:val="00C05A4B"/>
    <w:rsid w:val="00C8532E"/>
    <w:rsid w:val="00CF31D0"/>
    <w:rsid w:val="00D213C7"/>
    <w:rsid w:val="00D92EAE"/>
    <w:rsid w:val="00DC6F43"/>
    <w:rsid w:val="00DD14DC"/>
    <w:rsid w:val="00E0169F"/>
    <w:rsid w:val="00E32135"/>
    <w:rsid w:val="00E54D0A"/>
    <w:rsid w:val="00E91829"/>
    <w:rsid w:val="00ED4073"/>
    <w:rsid w:val="00F8583C"/>
    <w:rsid w:val="00FB7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A640577-7A1D-49A8-9137-D48DB30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Paragraph11,Recommendation"/>
    <w:basedOn w:val="Normal"/>
    <w:link w:val="ListParagraphChar"/>
    <w:uiPriority w:val="34"/>
    <w:qFormat/>
    <w:rsid w:val="00335FC6"/>
    <w:pPr>
      <w:ind w:left="720"/>
      <w:contextualSpacing/>
    </w:pPr>
  </w:style>
  <w:style w:type="character" w:styleId="Hyperlink">
    <w:name w:val="Hyperlink"/>
    <w:basedOn w:val="DefaultParagraphFont"/>
    <w:uiPriority w:val="99"/>
    <w:unhideWhenUsed/>
    <w:rsid w:val="00D92EAE"/>
    <w:rPr>
      <w:color w:val="0563C1"/>
      <w:u w:val="single"/>
    </w:rPr>
  </w:style>
  <w:style w:type="paragraph" w:styleId="Header">
    <w:name w:val="header"/>
    <w:basedOn w:val="Normal"/>
    <w:link w:val="HeaderChar"/>
    <w:uiPriority w:val="99"/>
    <w:unhideWhenUsed/>
    <w:rsid w:val="00B83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A96"/>
  </w:style>
  <w:style w:type="paragraph" w:styleId="Footer">
    <w:name w:val="footer"/>
    <w:basedOn w:val="Normal"/>
    <w:link w:val="FooterChar"/>
    <w:uiPriority w:val="99"/>
    <w:unhideWhenUsed/>
    <w:rsid w:val="00B83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A96"/>
  </w:style>
  <w:style w:type="paragraph" w:styleId="NormalWeb">
    <w:name w:val="Normal (Web)"/>
    <w:basedOn w:val="Normal"/>
    <w:uiPriority w:val="99"/>
    <w:rsid w:val="00B83A96"/>
    <w:pPr>
      <w:spacing w:before="100" w:beforeAutospacing="1" w:after="100" w:afterAutospacing="1" w:line="240" w:lineRule="auto"/>
    </w:pPr>
    <w:rPr>
      <w:rFonts w:ascii="Verdana" w:eastAsia="Times New Roman" w:hAnsi="Verdana" w:cs="Times New Roman"/>
      <w:sz w:val="24"/>
      <w:szCs w:val="24"/>
      <w:lang w:eastAsia="en-AU"/>
    </w:rPr>
  </w:style>
  <w:style w:type="paragraph" w:customStyle="1" w:styleId="infoheadings">
    <w:name w:val="info_headings"/>
    <w:basedOn w:val="BodyText2"/>
    <w:uiPriority w:val="99"/>
    <w:rsid w:val="00B83A96"/>
    <w:pPr>
      <w:spacing w:after="0" w:line="240" w:lineRule="auto"/>
      <w:ind w:left="-561" w:right="-667"/>
    </w:pPr>
    <w:rPr>
      <w:rFonts w:ascii="Verdana" w:eastAsia="Times New Roman" w:hAnsi="Verdana" w:cs="Times New Roman"/>
      <w:color w:val="333399"/>
      <w:sz w:val="20"/>
      <w:szCs w:val="20"/>
      <w:lang w:eastAsia="zh-CN"/>
    </w:rPr>
  </w:style>
  <w:style w:type="character" w:customStyle="1" w:styleId="ListParagraphChar">
    <w:name w:val="List Paragraph Char"/>
    <w:aliases w:val="List Paragraph1 Char,List Paragraph11 Char,Recommendation Char"/>
    <w:link w:val="ListParagraph"/>
    <w:uiPriority w:val="34"/>
    <w:locked/>
    <w:rsid w:val="00B83A96"/>
  </w:style>
  <w:style w:type="paragraph" w:styleId="BodyText2">
    <w:name w:val="Body Text 2"/>
    <w:basedOn w:val="Normal"/>
    <w:link w:val="BodyText2Char"/>
    <w:uiPriority w:val="99"/>
    <w:semiHidden/>
    <w:unhideWhenUsed/>
    <w:rsid w:val="00B83A96"/>
    <w:pPr>
      <w:spacing w:after="120" w:line="480" w:lineRule="auto"/>
    </w:pPr>
  </w:style>
  <w:style w:type="character" w:customStyle="1" w:styleId="BodyText2Char">
    <w:name w:val="Body Text 2 Char"/>
    <w:basedOn w:val="DefaultParagraphFont"/>
    <w:link w:val="BodyText2"/>
    <w:uiPriority w:val="99"/>
    <w:semiHidden/>
    <w:rsid w:val="00B83A96"/>
  </w:style>
  <w:style w:type="character" w:styleId="FollowedHyperlink">
    <w:name w:val="FollowedHyperlink"/>
    <w:basedOn w:val="DefaultParagraphFont"/>
    <w:uiPriority w:val="99"/>
    <w:semiHidden/>
    <w:unhideWhenUsed/>
    <w:rsid w:val="00AB5283"/>
    <w:rPr>
      <w:color w:val="954F72" w:themeColor="followedHyperlink"/>
      <w:u w:val="single"/>
    </w:rPr>
  </w:style>
  <w:style w:type="paragraph" w:styleId="BalloonText">
    <w:name w:val="Balloon Text"/>
    <w:basedOn w:val="Normal"/>
    <w:link w:val="BalloonTextChar"/>
    <w:uiPriority w:val="99"/>
    <w:semiHidden/>
    <w:unhideWhenUsed/>
    <w:rsid w:val="00AB52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2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86967">
      <w:bodyDiv w:val="1"/>
      <w:marLeft w:val="0"/>
      <w:marRight w:val="0"/>
      <w:marTop w:val="0"/>
      <w:marBottom w:val="0"/>
      <w:divBdr>
        <w:top w:val="none" w:sz="0" w:space="0" w:color="auto"/>
        <w:left w:val="none" w:sz="0" w:space="0" w:color="auto"/>
        <w:bottom w:val="none" w:sz="0" w:space="0" w:color="auto"/>
        <w:right w:val="none" w:sz="0" w:space="0" w:color="auto"/>
      </w:divBdr>
      <w:divsChild>
        <w:div w:id="99571134">
          <w:marLeft w:val="0"/>
          <w:marRight w:val="0"/>
          <w:marTop w:val="0"/>
          <w:marBottom w:val="0"/>
          <w:divBdr>
            <w:top w:val="none" w:sz="0" w:space="0" w:color="auto"/>
            <w:left w:val="none" w:sz="0" w:space="0" w:color="auto"/>
            <w:bottom w:val="none" w:sz="0" w:space="0" w:color="auto"/>
            <w:right w:val="none" w:sz="0" w:space="0" w:color="auto"/>
          </w:divBdr>
          <w:divsChild>
            <w:div w:id="1678583224">
              <w:marLeft w:val="-300"/>
              <w:marRight w:val="0"/>
              <w:marTop w:val="0"/>
              <w:marBottom w:val="0"/>
              <w:divBdr>
                <w:top w:val="none" w:sz="0" w:space="0" w:color="auto"/>
                <w:left w:val="none" w:sz="0" w:space="0" w:color="auto"/>
                <w:bottom w:val="none" w:sz="0" w:space="0" w:color="auto"/>
                <w:right w:val="none" w:sz="0" w:space="0" w:color="auto"/>
              </w:divBdr>
              <w:divsChild>
                <w:div w:id="1895308029">
                  <w:marLeft w:val="0"/>
                  <w:marRight w:val="0"/>
                  <w:marTop w:val="0"/>
                  <w:marBottom w:val="0"/>
                  <w:divBdr>
                    <w:top w:val="none" w:sz="0" w:space="0" w:color="auto"/>
                    <w:left w:val="none" w:sz="0" w:space="0" w:color="auto"/>
                    <w:bottom w:val="none" w:sz="0" w:space="0" w:color="auto"/>
                    <w:right w:val="none" w:sz="0" w:space="0" w:color="auto"/>
                  </w:divBdr>
                  <w:divsChild>
                    <w:div w:id="1717779623">
                      <w:marLeft w:val="0"/>
                      <w:marRight w:val="0"/>
                      <w:marTop w:val="0"/>
                      <w:marBottom w:val="0"/>
                      <w:divBdr>
                        <w:top w:val="none" w:sz="0" w:space="0" w:color="auto"/>
                        <w:left w:val="none" w:sz="0" w:space="0" w:color="auto"/>
                        <w:bottom w:val="none" w:sz="0" w:space="0" w:color="auto"/>
                        <w:right w:val="none" w:sz="0" w:space="0" w:color="auto"/>
                      </w:divBdr>
                      <w:divsChild>
                        <w:div w:id="1493987539">
                          <w:marLeft w:val="0"/>
                          <w:marRight w:val="0"/>
                          <w:marTop w:val="0"/>
                          <w:marBottom w:val="0"/>
                          <w:divBdr>
                            <w:top w:val="none" w:sz="0" w:space="0" w:color="auto"/>
                            <w:left w:val="none" w:sz="0" w:space="0" w:color="auto"/>
                            <w:bottom w:val="none" w:sz="0" w:space="0" w:color="auto"/>
                            <w:right w:val="none" w:sz="0" w:space="0" w:color="auto"/>
                          </w:divBdr>
                          <w:divsChild>
                            <w:div w:id="1163350217">
                              <w:marLeft w:val="0"/>
                              <w:marRight w:val="0"/>
                              <w:marTop w:val="240"/>
                              <w:marBottom w:val="480"/>
                              <w:divBdr>
                                <w:top w:val="none" w:sz="0" w:space="0" w:color="auto"/>
                                <w:left w:val="none" w:sz="0" w:space="0" w:color="auto"/>
                                <w:bottom w:val="none" w:sz="0" w:space="0" w:color="auto"/>
                                <w:right w:val="none" w:sz="0" w:space="0" w:color="auto"/>
                              </w:divBdr>
                              <w:divsChild>
                                <w:div w:id="1860239942">
                                  <w:marLeft w:val="0"/>
                                  <w:marRight w:val="0"/>
                                  <w:marTop w:val="0"/>
                                  <w:marBottom w:val="0"/>
                                  <w:divBdr>
                                    <w:top w:val="none" w:sz="0" w:space="0" w:color="auto"/>
                                    <w:left w:val="none" w:sz="0" w:space="0" w:color="auto"/>
                                    <w:bottom w:val="none" w:sz="0" w:space="0" w:color="auto"/>
                                    <w:right w:val="none" w:sz="0" w:space="0" w:color="auto"/>
                                  </w:divBdr>
                                  <w:divsChild>
                                    <w:div w:id="1309241411">
                                      <w:marLeft w:val="0"/>
                                      <w:marRight w:val="0"/>
                                      <w:marTop w:val="240"/>
                                      <w:marBottom w:val="480"/>
                                      <w:divBdr>
                                        <w:top w:val="none" w:sz="0" w:space="0" w:color="auto"/>
                                        <w:left w:val="none" w:sz="0" w:space="0" w:color="auto"/>
                                        <w:bottom w:val="none" w:sz="0" w:space="0" w:color="auto"/>
                                        <w:right w:val="none" w:sz="0" w:space="0" w:color="auto"/>
                                      </w:divBdr>
                                      <w:divsChild>
                                        <w:div w:id="687871867">
                                          <w:marLeft w:val="0"/>
                                          <w:marRight w:val="0"/>
                                          <w:marTop w:val="0"/>
                                          <w:marBottom w:val="0"/>
                                          <w:divBdr>
                                            <w:top w:val="none" w:sz="0" w:space="0" w:color="auto"/>
                                            <w:left w:val="none" w:sz="0" w:space="0" w:color="auto"/>
                                            <w:bottom w:val="none" w:sz="0" w:space="0" w:color="auto"/>
                                            <w:right w:val="none" w:sz="0" w:space="0" w:color="auto"/>
                                          </w:divBdr>
                                          <w:divsChild>
                                            <w:div w:id="1402825349">
                                              <w:marLeft w:val="0"/>
                                              <w:marRight w:val="0"/>
                                              <w:marTop w:val="0"/>
                                              <w:marBottom w:val="0"/>
                                              <w:divBdr>
                                                <w:top w:val="none" w:sz="0" w:space="0" w:color="auto"/>
                                                <w:left w:val="none" w:sz="0" w:space="0" w:color="auto"/>
                                                <w:bottom w:val="none" w:sz="0" w:space="0" w:color="auto"/>
                                                <w:right w:val="none" w:sz="0" w:space="0" w:color="auto"/>
                                              </w:divBdr>
                                              <w:divsChild>
                                                <w:div w:id="718164590">
                                                  <w:marLeft w:val="0"/>
                                                  <w:marRight w:val="0"/>
                                                  <w:marTop w:val="0"/>
                                                  <w:marBottom w:val="0"/>
                                                  <w:divBdr>
                                                    <w:top w:val="none" w:sz="0" w:space="0" w:color="auto"/>
                                                    <w:left w:val="none" w:sz="0" w:space="0" w:color="auto"/>
                                                    <w:bottom w:val="none" w:sz="0" w:space="0" w:color="auto"/>
                                                    <w:right w:val="none" w:sz="0" w:space="0" w:color="auto"/>
                                                  </w:divBdr>
                                                  <w:divsChild>
                                                    <w:div w:id="1462841088">
                                                      <w:marLeft w:val="0"/>
                                                      <w:marRight w:val="0"/>
                                                      <w:marTop w:val="0"/>
                                                      <w:marBottom w:val="0"/>
                                                      <w:divBdr>
                                                        <w:top w:val="none" w:sz="0" w:space="0" w:color="auto"/>
                                                        <w:left w:val="none" w:sz="0" w:space="0" w:color="auto"/>
                                                        <w:bottom w:val="none" w:sz="0" w:space="0" w:color="auto"/>
                                                        <w:right w:val="none" w:sz="0" w:space="0" w:color="auto"/>
                                                      </w:divBdr>
                                                      <w:divsChild>
                                                        <w:div w:id="443967884">
                                                          <w:marLeft w:val="0"/>
                                                          <w:marRight w:val="0"/>
                                                          <w:marTop w:val="0"/>
                                                          <w:marBottom w:val="0"/>
                                                          <w:divBdr>
                                                            <w:top w:val="none" w:sz="0" w:space="0" w:color="auto"/>
                                                            <w:left w:val="none" w:sz="0" w:space="0" w:color="auto"/>
                                                            <w:bottom w:val="none" w:sz="0" w:space="0" w:color="auto"/>
                                                            <w:right w:val="none" w:sz="0" w:space="0" w:color="auto"/>
                                                          </w:divBdr>
                                                          <w:divsChild>
                                                            <w:div w:id="4912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6919072">
      <w:bodyDiv w:val="1"/>
      <w:marLeft w:val="0"/>
      <w:marRight w:val="0"/>
      <w:marTop w:val="0"/>
      <w:marBottom w:val="0"/>
      <w:divBdr>
        <w:top w:val="none" w:sz="0" w:space="0" w:color="auto"/>
        <w:left w:val="none" w:sz="0" w:space="0" w:color="auto"/>
        <w:bottom w:val="none" w:sz="0" w:space="0" w:color="auto"/>
        <w:right w:val="none" w:sz="0" w:space="0" w:color="auto"/>
      </w:divBdr>
    </w:div>
    <w:div w:id="1187676091">
      <w:bodyDiv w:val="1"/>
      <w:marLeft w:val="0"/>
      <w:marRight w:val="0"/>
      <w:marTop w:val="0"/>
      <w:marBottom w:val="0"/>
      <w:divBdr>
        <w:top w:val="none" w:sz="0" w:space="0" w:color="auto"/>
        <w:left w:val="none" w:sz="0" w:space="0" w:color="auto"/>
        <w:bottom w:val="none" w:sz="0" w:space="0" w:color="auto"/>
        <w:right w:val="none" w:sz="0" w:space="0" w:color="auto"/>
      </w:divBdr>
      <w:divsChild>
        <w:div w:id="1475028216">
          <w:marLeft w:val="0"/>
          <w:marRight w:val="0"/>
          <w:marTop w:val="0"/>
          <w:marBottom w:val="0"/>
          <w:divBdr>
            <w:top w:val="none" w:sz="0" w:space="0" w:color="auto"/>
            <w:left w:val="none" w:sz="0" w:space="0" w:color="auto"/>
            <w:bottom w:val="none" w:sz="0" w:space="0" w:color="auto"/>
            <w:right w:val="none" w:sz="0" w:space="0" w:color="auto"/>
          </w:divBdr>
          <w:divsChild>
            <w:div w:id="843282266">
              <w:marLeft w:val="-300"/>
              <w:marRight w:val="0"/>
              <w:marTop w:val="0"/>
              <w:marBottom w:val="0"/>
              <w:divBdr>
                <w:top w:val="none" w:sz="0" w:space="0" w:color="auto"/>
                <w:left w:val="none" w:sz="0" w:space="0" w:color="auto"/>
                <w:bottom w:val="none" w:sz="0" w:space="0" w:color="auto"/>
                <w:right w:val="none" w:sz="0" w:space="0" w:color="auto"/>
              </w:divBdr>
              <w:divsChild>
                <w:div w:id="442724201">
                  <w:marLeft w:val="0"/>
                  <w:marRight w:val="0"/>
                  <w:marTop w:val="0"/>
                  <w:marBottom w:val="0"/>
                  <w:divBdr>
                    <w:top w:val="none" w:sz="0" w:space="0" w:color="auto"/>
                    <w:left w:val="none" w:sz="0" w:space="0" w:color="auto"/>
                    <w:bottom w:val="none" w:sz="0" w:space="0" w:color="auto"/>
                    <w:right w:val="none" w:sz="0" w:space="0" w:color="auto"/>
                  </w:divBdr>
                  <w:divsChild>
                    <w:div w:id="310520555">
                      <w:marLeft w:val="0"/>
                      <w:marRight w:val="0"/>
                      <w:marTop w:val="0"/>
                      <w:marBottom w:val="0"/>
                      <w:divBdr>
                        <w:top w:val="none" w:sz="0" w:space="0" w:color="auto"/>
                        <w:left w:val="none" w:sz="0" w:space="0" w:color="auto"/>
                        <w:bottom w:val="none" w:sz="0" w:space="0" w:color="auto"/>
                        <w:right w:val="none" w:sz="0" w:space="0" w:color="auto"/>
                      </w:divBdr>
                      <w:divsChild>
                        <w:div w:id="1761214948">
                          <w:marLeft w:val="0"/>
                          <w:marRight w:val="0"/>
                          <w:marTop w:val="0"/>
                          <w:marBottom w:val="0"/>
                          <w:divBdr>
                            <w:top w:val="none" w:sz="0" w:space="0" w:color="auto"/>
                            <w:left w:val="none" w:sz="0" w:space="0" w:color="auto"/>
                            <w:bottom w:val="none" w:sz="0" w:space="0" w:color="auto"/>
                            <w:right w:val="none" w:sz="0" w:space="0" w:color="auto"/>
                          </w:divBdr>
                          <w:divsChild>
                            <w:div w:id="1654018707">
                              <w:marLeft w:val="0"/>
                              <w:marRight w:val="0"/>
                              <w:marTop w:val="240"/>
                              <w:marBottom w:val="480"/>
                              <w:divBdr>
                                <w:top w:val="none" w:sz="0" w:space="0" w:color="auto"/>
                                <w:left w:val="none" w:sz="0" w:space="0" w:color="auto"/>
                                <w:bottom w:val="none" w:sz="0" w:space="0" w:color="auto"/>
                                <w:right w:val="none" w:sz="0" w:space="0" w:color="auto"/>
                              </w:divBdr>
                              <w:divsChild>
                                <w:div w:id="740718413">
                                  <w:marLeft w:val="0"/>
                                  <w:marRight w:val="0"/>
                                  <w:marTop w:val="0"/>
                                  <w:marBottom w:val="0"/>
                                  <w:divBdr>
                                    <w:top w:val="none" w:sz="0" w:space="0" w:color="auto"/>
                                    <w:left w:val="none" w:sz="0" w:space="0" w:color="auto"/>
                                    <w:bottom w:val="none" w:sz="0" w:space="0" w:color="auto"/>
                                    <w:right w:val="none" w:sz="0" w:space="0" w:color="auto"/>
                                  </w:divBdr>
                                  <w:divsChild>
                                    <w:div w:id="1009287065">
                                      <w:marLeft w:val="0"/>
                                      <w:marRight w:val="0"/>
                                      <w:marTop w:val="240"/>
                                      <w:marBottom w:val="480"/>
                                      <w:divBdr>
                                        <w:top w:val="none" w:sz="0" w:space="0" w:color="auto"/>
                                        <w:left w:val="none" w:sz="0" w:space="0" w:color="auto"/>
                                        <w:bottom w:val="none" w:sz="0" w:space="0" w:color="auto"/>
                                        <w:right w:val="none" w:sz="0" w:space="0" w:color="auto"/>
                                      </w:divBdr>
                                      <w:divsChild>
                                        <w:div w:id="1142311012">
                                          <w:marLeft w:val="0"/>
                                          <w:marRight w:val="0"/>
                                          <w:marTop w:val="0"/>
                                          <w:marBottom w:val="0"/>
                                          <w:divBdr>
                                            <w:top w:val="none" w:sz="0" w:space="0" w:color="auto"/>
                                            <w:left w:val="none" w:sz="0" w:space="0" w:color="auto"/>
                                            <w:bottom w:val="none" w:sz="0" w:space="0" w:color="auto"/>
                                            <w:right w:val="none" w:sz="0" w:space="0" w:color="auto"/>
                                          </w:divBdr>
                                          <w:divsChild>
                                            <w:div w:id="1087966711">
                                              <w:marLeft w:val="0"/>
                                              <w:marRight w:val="0"/>
                                              <w:marTop w:val="0"/>
                                              <w:marBottom w:val="0"/>
                                              <w:divBdr>
                                                <w:top w:val="none" w:sz="0" w:space="0" w:color="auto"/>
                                                <w:left w:val="none" w:sz="0" w:space="0" w:color="auto"/>
                                                <w:bottom w:val="none" w:sz="0" w:space="0" w:color="auto"/>
                                                <w:right w:val="none" w:sz="0" w:space="0" w:color="auto"/>
                                              </w:divBdr>
                                              <w:divsChild>
                                                <w:div w:id="177548893">
                                                  <w:marLeft w:val="0"/>
                                                  <w:marRight w:val="0"/>
                                                  <w:marTop w:val="0"/>
                                                  <w:marBottom w:val="0"/>
                                                  <w:divBdr>
                                                    <w:top w:val="none" w:sz="0" w:space="0" w:color="auto"/>
                                                    <w:left w:val="none" w:sz="0" w:space="0" w:color="auto"/>
                                                    <w:bottom w:val="none" w:sz="0" w:space="0" w:color="auto"/>
                                                    <w:right w:val="none" w:sz="0" w:space="0" w:color="auto"/>
                                                  </w:divBdr>
                                                  <w:divsChild>
                                                    <w:div w:id="97219592">
                                                      <w:marLeft w:val="0"/>
                                                      <w:marRight w:val="0"/>
                                                      <w:marTop w:val="0"/>
                                                      <w:marBottom w:val="0"/>
                                                      <w:divBdr>
                                                        <w:top w:val="none" w:sz="0" w:space="0" w:color="auto"/>
                                                        <w:left w:val="none" w:sz="0" w:space="0" w:color="auto"/>
                                                        <w:bottom w:val="none" w:sz="0" w:space="0" w:color="auto"/>
                                                        <w:right w:val="none" w:sz="0" w:space="0" w:color="auto"/>
                                                      </w:divBdr>
                                                      <w:divsChild>
                                                        <w:div w:id="1133982320">
                                                          <w:marLeft w:val="0"/>
                                                          <w:marRight w:val="0"/>
                                                          <w:marTop w:val="0"/>
                                                          <w:marBottom w:val="0"/>
                                                          <w:divBdr>
                                                            <w:top w:val="none" w:sz="0" w:space="0" w:color="auto"/>
                                                            <w:left w:val="none" w:sz="0" w:space="0" w:color="auto"/>
                                                            <w:bottom w:val="none" w:sz="0" w:space="0" w:color="auto"/>
                                                            <w:right w:val="none" w:sz="0" w:space="0" w:color="auto"/>
                                                          </w:divBdr>
                                                          <w:divsChild>
                                                            <w:div w:id="19345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625711">
      <w:bodyDiv w:val="1"/>
      <w:marLeft w:val="0"/>
      <w:marRight w:val="0"/>
      <w:marTop w:val="0"/>
      <w:marBottom w:val="0"/>
      <w:divBdr>
        <w:top w:val="none" w:sz="0" w:space="0" w:color="auto"/>
        <w:left w:val="none" w:sz="0" w:space="0" w:color="auto"/>
        <w:bottom w:val="none" w:sz="0" w:space="0" w:color="auto"/>
        <w:right w:val="none" w:sz="0" w:space="0" w:color="auto"/>
      </w:divBdr>
    </w:div>
    <w:div w:id="1545404535">
      <w:bodyDiv w:val="1"/>
      <w:marLeft w:val="0"/>
      <w:marRight w:val="0"/>
      <w:marTop w:val="0"/>
      <w:marBottom w:val="0"/>
      <w:divBdr>
        <w:top w:val="none" w:sz="0" w:space="0" w:color="auto"/>
        <w:left w:val="none" w:sz="0" w:space="0" w:color="auto"/>
        <w:bottom w:val="none" w:sz="0" w:space="0" w:color="auto"/>
        <w:right w:val="none" w:sz="0" w:space="0" w:color="auto"/>
      </w:divBdr>
    </w:div>
    <w:div w:id="1978297448">
      <w:bodyDiv w:val="1"/>
      <w:marLeft w:val="0"/>
      <w:marRight w:val="0"/>
      <w:marTop w:val="0"/>
      <w:marBottom w:val="0"/>
      <w:divBdr>
        <w:top w:val="none" w:sz="0" w:space="0" w:color="auto"/>
        <w:left w:val="none" w:sz="0" w:space="0" w:color="auto"/>
        <w:bottom w:val="none" w:sz="0" w:space="0" w:color="auto"/>
        <w:right w:val="none" w:sz="0" w:space="0" w:color="auto"/>
      </w:divBdr>
    </w:div>
    <w:div w:id="212811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www.emralliance.org/rdcras-updates.html" TargetMode="External"/><Relationship Id="rId12" Type="http://schemas.openxmlformats.org/officeDocument/2006/relationships/image" Target="cid:image003.png@01D3110A.143EEE10" TargetMode="External"/><Relationship Id="rId17" Type="http://schemas.openxmlformats.org/officeDocument/2006/relationships/image" Target="media/image7.png"/><Relationship Id="rId25" Type="http://schemas.openxmlformats.org/officeDocument/2006/relationships/image" Target="cid:image008.png@01D3110A.D41530A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cid:image006.png@01D3110A.766015B0"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cid:image005.png@01D3110A.D41530A0" TargetMode="External"/><Relationship Id="rId28" Type="http://schemas.openxmlformats.org/officeDocument/2006/relationships/image" Target="media/image14.png"/><Relationship Id="rId10" Type="http://schemas.openxmlformats.org/officeDocument/2006/relationships/image" Target="cid:image002.png@01D3110A.143EEE10"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04.png@01D3110A.143EEE10" TargetMode="External"/><Relationship Id="rId22" Type="http://schemas.openxmlformats.org/officeDocument/2006/relationships/image" Target="media/image11.png"/><Relationship Id="rId27" Type="http://schemas.openxmlformats.org/officeDocument/2006/relationships/image" Target="cid:image009.png@01D3110A.D41530A0" TargetMode="External"/><Relationship Id="rId30" Type="http://schemas.openxmlformats.org/officeDocument/2006/relationships/image" Target="cid:image007.png@01D3110B.197496E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ealth.gov.au/)%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EACH</Company>
  <LinksUpToDate>false</LinksUpToDate>
  <CharactersWithSpaces>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Ayesha Fathers</dc:creator>
  <cp:keywords/>
  <dc:description/>
  <cp:lastModifiedBy>Ayesha Fathers</cp:lastModifiedBy>
  <cp:revision>5</cp:revision>
  <cp:lastPrinted>2017-06-16T05:33:00Z</cp:lastPrinted>
  <dcterms:created xsi:type="dcterms:W3CDTF">2017-08-17T01:06:00Z</dcterms:created>
  <dcterms:modified xsi:type="dcterms:W3CDTF">2017-12-20T23:34:00Z</dcterms:modified>
</cp:coreProperties>
</file>